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8"/>
          <w:szCs w:val="24"/>
        </w:rPr>
        <w:t xml:space="preserve">носится </w:t>
      </w:r>
      <w:r>
        <w:rPr>
          <w:rFonts w:ascii="Times New Roman" w:hAnsi="Times New Roman" w:cs="Times New Roman"/>
          <w:sz w:val="28"/>
          <w:szCs w:val="24"/>
        </w:rPr>
        <w:t xml:space="preserve">Брянской областной Думой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ФЕДЕРАЛЬНЫЙ ЗАКОН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jc w:val="center"/>
        <w:spacing w:line="360" w:lineRule="auto"/>
      </w:pPr>
      <w:r>
        <w:rPr>
          <w:szCs w:val="32"/>
        </w:rPr>
        <w:t xml:space="preserve">О внесении изменений в Федеральный закон «О стратегическом планировании в Российской Федерации»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Статья 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28 июня 2014 года № 172-ФЗ                             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2014, № 26, ст. 3378; 2016, № 27, ст. 4210; 2017, № 45, ст. 6573; 2018, № 1, ст. 91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2024, № 29, ст. 4106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numPr>
          <w:ilvl w:val="0"/>
          <w:numId w:val="16"/>
        </w:numPr>
        <w:ind w:left="0" w:right="0" w:firstLine="709"/>
        <w:jc w:val="both"/>
        <w:spacing w:after="0" w:line="36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 2 статьи 9: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пункте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«законодательный (представительный) орган государственной власти субъекта Российской Федерации» заменить словами «законодательный орган субъекта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пункте 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пункте 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высший исполнительный орган государственной власти»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заменить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высший исполнительный орган»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в пункте 4 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исполнительные органы государственной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словами «исполнительные органы»;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16"/>
        </w:numPr>
        <w:ind w:left="0" w:right="0" w:firstLine="709"/>
        <w:jc w:val="both"/>
        <w:spacing w:line="360" w:lineRule="auto"/>
        <w:tabs>
          <w:tab w:val="left" w:pos="992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статье 10: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left="0" w:right="0" w:firstLine="709"/>
        <w:jc w:val="both"/>
        <w:spacing w:line="360" w:lineRule="auto"/>
        <w:tabs>
          <w:tab w:val="left" w:pos="992" w:leader="none"/>
          <w:tab w:val="left" w:pos="1134" w:leader="none"/>
        </w:tabs>
        <w:rPr>
          <w:b w:val="0"/>
          <w:bCs w:val="0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а) в абзаце первом части 8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Высший исполнительный орган государственной власти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заменить словами «Высший исполнительный орган»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2 части 8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высшего исполнительного органа»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пункте 7 части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высшего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высшего исполнительного органа»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в абзаце первом части 9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Исполнительные органы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Исполнительные органы»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2 статьи 13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ысшего исполнительного органа»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в статье 32: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части 2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исключить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части 6 слова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законодательным органом субъекта Российской Федерации либо высшим исполнительным органом субъекта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в статье 33: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части 2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высшего исполнительного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пункте 7 части 4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части 6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«высш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 исполнительным органом»,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«высшего исполнительного органа»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в части 7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 в статье 35: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пункте 5 части 3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части 5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«высшим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 заменить словами «высшего исполнительного органа»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части 6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исключить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 в статье 36: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части 2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высшего исполнительного органа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«высшего исполнительного органа»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пункте 5 части 3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части 5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 в статье 37: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части 1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высшим исполнительным органом государственной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части 2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части 4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2 части 4 статьи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(руководителя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исключить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10) в статье 44: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части 4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части 5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высшим исполнительным органом»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части 6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Высший исполнительный орган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Высший исполнительный орган»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left="0" w:right="0" w:firstLine="709"/>
        <w:jc w:val="both"/>
        <w:spacing w:line="360" w:lineRule="auto"/>
        <w:tabs>
          <w:tab w:val="left" w:pos="992" w:leader="none"/>
          <w:tab w:val="left" w:pos="1134" w:leader="none"/>
        </w:tabs>
        <w:rPr>
          <w:b w:val="0"/>
          <w:bCs w:val="0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11) в части 4 статьи 47 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высшими исполнительными органами государственной власти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высшими исполнительными органами»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9"/>
        <w:ind w:firstLine="709"/>
        <w:jc w:val="both"/>
        <w:spacing w:line="360" w:lineRule="auto"/>
        <w:rPr>
          <w:b w:val="0"/>
          <w:bCs w:val="0"/>
        </w:rPr>
        <w:outlineLvl w:val="0"/>
      </w:pPr>
      <w:r>
        <w:rPr>
          <w:b/>
          <w:bCs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Статья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Федеральный закон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687146"/>
      <w:rPr/>
    </w:sdtPr>
    <w:sdtContent>
      <w:p>
        <w:pPr>
          <w:pStyle w:val="89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34" w:hanging="112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94"/>
    <w:uiPriority w:val="99"/>
  </w:style>
  <w:style w:type="character" w:styleId="737">
    <w:name w:val="Footer Char"/>
    <w:basedOn w:val="885"/>
    <w:link w:val="89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5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List Paragraph"/>
    <w:basedOn w:val="884"/>
    <w:uiPriority w:val="34"/>
    <w:qFormat/>
    <w:pPr>
      <w:contextualSpacing/>
      <w:ind w:left="720"/>
    </w:pPr>
    <w:rPr>
      <w:rFonts w:eastAsiaTheme="minorHAnsi"/>
      <w:lang w:eastAsia="en-US"/>
    </w:rPr>
  </w:style>
  <w:style w:type="paragraph" w:styleId="889" w:customStyle="1">
    <w:name w:val="ConsPlusNormal"/>
    <w:pPr>
      <w:spacing w:after="0" w:line="240" w:lineRule="auto"/>
    </w:pPr>
    <w:rPr>
      <w:rFonts w:ascii="Times New Roman" w:hAnsi="Times New Roman" w:cs="Times New Roman" w:eastAsiaTheme="minorHAnsi"/>
      <w:b/>
      <w:bCs/>
      <w:sz w:val="28"/>
      <w:szCs w:val="28"/>
      <w:lang w:eastAsia="en-US"/>
    </w:rPr>
  </w:style>
  <w:style w:type="paragraph" w:styleId="890">
    <w:name w:val="Body Text Indent 2"/>
    <w:basedOn w:val="884"/>
    <w:link w:val="891"/>
    <w:pPr>
      <w:ind w:left="283"/>
      <w:spacing w:after="120" w:line="480" w:lineRule="auto"/>
    </w:pPr>
    <w:rPr>
      <w:rFonts w:ascii="Times New Roman" w:hAnsi="Times New Roman" w:eastAsia="Calibri" w:cs="Times New Roman"/>
      <w:sz w:val="24"/>
      <w:szCs w:val="20"/>
    </w:rPr>
  </w:style>
  <w:style w:type="character" w:styleId="891" w:customStyle="1">
    <w:name w:val="Основной текст с отступом 2 Знак"/>
    <w:basedOn w:val="885"/>
    <w:link w:val="890"/>
    <w:rPr>
      <w:rFonts w:ascii="Times New Roman" w:hAnsi="Times New Roman" w:eastAsia="Calibri" w:cs="Times New Roman"/>
      <w:sz w:val="24"/>
      <w:szCs w:val="20"/>
    </w:rPr>
  </w:style>
  <w:style w:type="paragraph" w:styleId="892">
    <w:name w:val="Normal (Web)"/>
    <w:basedOn w:val="884"/>
    <w:pPr>
      <w:spacing w:before="100" w:beforeAutospacing="1" w:after="100" w:afterAutospacing="1" w:line="240" w:lineRule="auto"/>
    </w:pPr>
    <w:rPr>
      <w:rFonts w:ascii="Verdana" w:hAnsi="Verdana" w:eastAsia="Calibri" w:cs="Times New Roman"/>
      <w:sz w:val="14"/>
      <w:szCs w:val="14"/>
    </w:rPr>
  </w:style>
  <w:style w:type="paragraph" w:styleId="893" w:customStyle="1">
    <w:name w:val="Абзац списка1"/>
    <w:basedOn w:val="884"/>
    <w:pPr>
      <w:ind w:left="720" w:firstLine="709"/>
      <w:jc w:val="both"/>
      <w:spacing w:after="0"/>
    </w:pPr>
    <w:rPr>
      <w:rFonts w:ascii="Times New Roman" w:hAnsi="Times New Roman" w:eastAsia="Times New Roman" w:cs="Times New Roman"/>
      <w:sz w:val="24"/>
      <w:lang w:eastAsia="en-US"/>
    </w:rPr>
  </w:style>
  <w:style w:type="paragraph" w:styleId="894">
    <w:name w:val="Header"/>
    <w:basedOn w:val="884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885"/>
    <w:link w:val="894"/>
    <w:uiPriority w:val="99"/>
  </w:style>
  <w:style w:type="paragraph" w:styleId="896">
    <w:name w:val="Footer"/>
    <w:basedOn w:val="884"/>
    <w:link w:val="89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885"/>
    <w:link w:val="896"/>
    <w:uiPriority w:val="99"/>
    <w:semiHidden/>
  </w:style>
  <w:style w:type="paragraph" w:styleId="898">
    <w:name w:val="Balloon Text"/>
    <w:basedOn w:val="884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85"/>
    <w:link w:val="898"/>
    <w:uiPriority w:val="99"/>
    <w:semiHidden/>
    <w:rPr>
      <w:rFonts w:ascii="Tahoma" w:hAnsi="Tahoma" w:cs="Tahoma"/>
      <w:sz w:val="16"/>
      <w:szCs w:val="16"/>
    </w:rPr>
  </w:style>
  <w:style w:type="paragraph" w:styleId="900">
    <w:name w:val="No Spacing"/>
    <w:uiPriority w:val="1"/>
    <w:qFormat/>
    <w:pPr>
      <w:spacing w:after="0" w:line="240" w:lineRule="auto"/>
    </w:pPr>
  </w:style>
  <w:style w:type="paragraph" w:styleId="901" w:customStyle="1">
    <w:name w:val="Шаблон Пояснительная записка ФЗ"/>
    <w:basedOn w:val="725"/>
    <w:qFormat/>
    <w:pPr>
      <w:contextualSpacing/>
      <w:ind w:left="0" w:right="0" w:firstLine="709"/>
      <w:jc w:val="both"/>
      <w:keepLines w:val="0"/>
      <w:keepNext w:val="0"/>
      <w:pageBreakBefore w:val="0"/>
      <w:spacing w:before="48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8F25-06F1-4615-8EE6-2EE8EA7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durnev</cp:lastModifiedBy>
  <cp:revision>30</cp:revision>
  <dcterms:created xsi:type="dcterms:W3CDTF">2023-08-31T13:07:00Z</dcterms:created>
  <dcterms:modified xsi:type="dcterms:W3CDTF">2025-10-20T14:40:48Z</dcterms:modified>
</cp:coreProperties>
</file>